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A9" w:rsidRDefault="008C3BAB" w:rsidP="00E931A9">
      <w:pPr>
        <w:spacing w:line="240" w:lineRule="auto"/>
        <w:ind w:left="5528"/>
        <w:jc w:val="right"/>
        <w:rPr>
          <w:sz w:val="28"/>
          <w:szCs w:val="28"/>
        </w:rPr>
      </w:pPr>
      <w:r>
        <w:rPr>
          <w:rFonts w:ascii="Times New Roman" w:hAnsi="Times New Roman" w:cs="Times New Roman"/>
          <w:sz w:val="24"/>
          <w:szCs w:val="24"/>
        </w:rPr>
        <w:t>Утверждено</w:t>
      </w:r>
      <w:r w:rsidR="00E931A9" w:rsidRPr="00E931A9">
        <w:rPr>
          <w:rFonts w:ascii="Times New Roman" w:hAnsi="Times New Roman" w:cs="Times New Roman"/>
          <w:sz w:val="24"/>
          <w:szCs w:val="24"/>
        </w:rPr>
        <w:t xml:space="preserve"> </w:t>
      </w:r>
      <w:r w:rsidR="00D41775">
        <w:rPr>
          <w:rFonts w:ascii="Times New Roman" w:hAnsi="Times New Roman" w:cs="Times New Roman"/>
          <w:sz w:val="24"/>
          <w:szCs w:val="24"/>
        </w:rPr>
        <w:t>Решением Совета  от 31.11.2025</w:t>
      </w:r>
      <w:r>
        <w:rPr>
          <w:rFonts w:ascii="Times New Roman" w:hAnsi="Times New Roman" w:cs="Times New Roman"/>
          <w:sz w:val="24"/>
          <w:szCs w:val="24"/>
        </w:rPr>
        <w:t>г. П</w:t>
      </w:r>
      <w:r w:rsidR="00E931A9" w:rsidRPr="00E931A9">
        <w:rPr>
          <w:rFonts w:ascii="Times New Roman" w:hAnsi="Times New Roman" w:cs="Times New Roman"/>
          <w:sz w:val="24"/>
          <w:szCs w:val="24"/>
        </w:rPr>
        <w:t>ротокол № 2</w:t>
      </w:r>
      <w:r w:rsidR="00D41775">
        <w:rPr>
          <w:rFonts w:ascii="Times New Roman" w:hAnsi="Times New Roman" w:cs="Times New Roman"/>
          <w:sz w:val="24"/>
          <w:szCs w:val="24"/>
        </w:rPr>
        <w:t>5</w:t>
      </w:r>
    </w:p>
    <w:p w:rsidR="00E931A9" w:rsidRDefault="00E931A9" w:rsidP="00E931A9">
      <w:pPr>
        <w:ind w:left="5529"/>
        <w:jc w:val="center"/>
        <w:rPr>
          <w:sz w:val="28"/>
          <w:szCs w:val="28"/>
        </w:rPr>
      </w:pPr>
    </w:p>
    <w:p w:rsidR="003019D3" w:rsidRPr="003C1EEA" w:rsidRDefault="003019D3" w:rsidP="00D41775">
      <w:pPr>
        <w:pStyle w:val="a6"/>
        <w:tabs>
          <w:tab w:val="left" w:pos="993"/>
        </w:tabs>
        <w:ind w:firstLine="5103"/>
        <w:jc w:val="both"/>
        <w:rPr>
          <w:rFonts w:ascii="Times New Roman" w:hAnsi="Times New Roman" w:cs="Times New Roman"/>
          <w:b/>
          <w:sz w:val="28"/>
          <w:szCs w:val="28"/>
        </w:rPr>
      </w:pPr>
      <w:r>
        <w:rPr>
          <w:rFonts w:ascii="Times New Roman" w:hAnsi="Times New Roman" w:cs="Times New Roman"/>
          <w:b/>
          <w:sz w:val="32"/>
          <w:szCs w:val="32"/>
        </w:rPr>
        <w:t xml:space="preserve">       </w:t>
      </w:r>
    </w:p>
    <w:p w:rsidR="00D41775" w:rsidRPr="003C1EEA" w:rsidRDefault="00D41775" w:rsidP="00D41775">
      <w:pPr>
        <w:pStyle w:val="a6"/>
        <w:spacing w:line="276" w:lineRule="auto"/>
        <w:jc w:val="center"/>
        <w:rPr>
          <w:rFonts w:ascii="Times New Roman" w:hAnsi="Times New Roman" w:cs="Times New Roman"/>
          <w:b/>
          <w:sz w:val="28"/>
          <w:szCs w:val="28"/>
        </w:rPr>
      </w:pPr>
      <w:r w:rsidRPr="003C1EEA">
        <w:rPr>
          <w:rFonts w:ascii="Times New Roman" w:hAnsi="Times New Roman" w:cs="Times New Roman"/>
          <w:b/>
          <w:sz w:val="28"/>
          <w:szCs w:val="28"/>
        </w:rPr>
        <w:t>ПОРЯДОК</w:t>
      </w:r>
    </w:p>
    <w:p w:rsidR="00D41775" w:rsidRPr="003C1EEA" w:rsidRDefault="00D41775" w:rsidP="00D41775">
      <w:pPr>
        <w:pStyle w:val="a6"/>
        <w:spacing w:line="276" w:lineRule="auto"/>
        <w:jc w:val="center"/>
        <w:rPr>
          <w:rFonts w:ascii="Times New Roman" w:hAnsi="Times New Roman" w:cs="Times New Roman"/>
          <w:b/>
          <w:sz w:val="28"/>
          <w:szCs w:val="28"/>
        </w:rPr>
      </w:pPr>
      <w:r w:rsidRPr="003C1EEA">
        <w:rPr>
          <w:rFonts w:ascii="Times New Roman" w:hAnsi="Times New Roman" w:cs="Times New Roman"/>
          <w:b/>
          <w:sz w:val="28"/>
          <w:szCs w:val="28"/>
        </w:rPr>
        <w:t>выдвижения делегатов на предстоящую Конференцию адвокатов</w:t>
      </w:r>
    </w:p>
    <w:p w:rsidR="00D41775" w:rsidRPr="003C1EEA" w:rsidRDefault="00D41775" w:rsidP="00D41775">
      <w:pPr>
        <w:pStyle w:val="a6"/>
        <w:spacing w:line="276" w:lineRule="auto"/>
        <w:jc w:val="center"/>
        <w:rPr>
          <w:rFonts w:ascii="Times New Roman" w:hAnsi="Times New Roman" w:cs="Times New Roman"/>
          <w:b/>
          <w:sz w:val="28"/>
          <w:szCs w:val="28"/>
        </w:rPr>
      </w:pPr>
      <w:r w:rsidRPr="003C1EEA">
        <w:rPr>
          <w:rFonts w:ascii="Times New Roman" w:hAnsi="Times New Roman" w:cs="Times New Roman"/>
          <w:b/>
          <w:sz w:val="28"/>
          <w:szCs w:val="28"/>
        </w:rPr>
        <w:t>Адвокатской палаты Республики Хакасия</w:t>
      </w:r>
    </w:p>
    <w:p w:rsidR="00D41775" w:rsidRPr="003C1EEA" w:rsidRDefault="00D41775" w:rsidP="00D41775">
      <w:pPr>
        <w:pStyle w:val="a6"/>
        <w:spacing w:line="276" w:lineRule="auto"/>
        <w:jc w:val="both"/>
        <w:rPr>
          <w:rFonts w:ascii="Times New Roman" w:hAnsi="Times New Roman" w:cs="Times New Roman"/>
          <w:sz w:val="28"/>
          <w:szCs w:val="28"/>
        </w:rPr>
      </w:pP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r>
      <w:r>
        <w:rPr>
          <w:rFonts w:ascii="Times New Roman" w:hAnsi="Times New Roman" w:cs="Times New Roman"/>
          <w:color w:val="252525"/>
          <w:spacing w:val="2"/>
          <w:sz w:val="28"/>
          <w:szCs w:val="28"/>
        </w:rPr>
        <w:t>В соответствии с</w:t>
      </w:r>
      <w:r w:rsidRPr="003C1EEA">
        <w:rPr>
          <w:rFonts w:ascii="Times New Roman" w:hAnsi="Times New Roman" w:cs="Times New Roman"/>
          <w:color w:val="252525"/>
          <w:sz w:val="28"/>
          <w:szCs w:val="28"/>
          <w:shd w:val="clear" w:color="auto" w:fill="FFFFFF"/>
        </w:rPr>
        <w:t xml:space="preserve"> абзац</w:t>
      </w:r>
      <w:r>
        <w:rPr>
          <w:rFonts w:ascii="Times New Roman" w:hAnsi="Times New Roman" w:cs="Times New Roman"/>
          <w:color w:val="252525"/>
          <w:sz w:val="28"/>
          <w:szCs w:val="28"/>
          <w:shd w:val="clear" w:color="auto" w:fill="FFFFFF"/>
        </w:rPr>
        <w:t>ем</w:t>
      </w:r>
      <w:r w:rsidRPr="003C1EEA">
        <w:rPr>
          <w:rFonts w:ascii="Times New Roman" w:hAnsi="Times New Roman" w:cs="Times New Roman"/>
          <w:color w:val="252525"/>
          <w:sz w:val="28"/>
          <w:szCs w:val="28"/>
          <w:shd w:val="clear" w:color="auto" w:fill="FFFFFF"/>
        </w:rPr>
        <w:t xml:space="preserve"> первы</w:t>
      </w:r>
      <w:r>
        <w:rPr>
          <w:rFonts w:ascii="Times New Roman" w:hAnsi="Times New Roman" w:cs="Times New Roman"/>
          <w:color w:val="252525"/>
          <w:sz w:val="28"/>
          <w:szCs w:val="28"/>
          <w:shd w:val="clear" w:color="auto" w:fill="FFFFFF"/>
        </w:rPr>
        <w:t>м</w:t>
      </w:r>
      <w:r w:rsidRPr="003C1EEA">
        <w:rPr>
          <w:rFonts w:ascii="Times New Roman" w:hAnsi="Times New Roman" w:cs="Times New Roman"/>
          <w:color w:val="252525"/>
          <w:sz w:val="28"/>
          <w:szCs w:val="28"/>
          <w:shd w:val="clear" w:color="auto" w:fill="FFFFFF"/>
        </w:rPr>
        <w:t xml:space="preserve"> пункта 1 статьи 30</w:t>
      </w:r>
      <w:r>
        <w:rPr>
          <w:rFonts w:ascii="Times New Roman" w:hAnsi="Times New Roman" w:cs="Times New Roman"/>
          <w:color w:val="252525"/>
          <w:sz w:val="28"/>
          <w:szCs w:val="28"/>
          <w:shd w:val="clear" w:color="auto" w:fill="FFFFFF"/>
        </w:rPr>
        <w:t xml:space="preserve"> </w:t>
      </w:r>
      <w:r w:rsidRPr="003C1EEA">
        <w:rPr>
          <w:rFonts w:ascii="Times New Roman" w:hAnsi="Times New Roman" w:cs="Times New Roman"/>
          <w:color w:val="252525"/>
          <w:spacing w:val="2"/>
          <w:sz w:val="28"/>
          <w:szCs w:val="28"/>
        </w:rPr>
        <w:t>Федеральн</w:t>
      </w:r>
      <w:r>
        <w:rPr>
          <w:rFonts w:ascii="Times New Roman" w:hAnsi="Times New Roman" w:cs="Times New Roman"/>
          <w:color w:val="252525"/>
          <w:spacing w:val="2"/>
          <w:sz w:val="28"/>
          <w:szCs w:val="28"/>
        </w:rPr>
        <w:t>ого</w:t>
      </w:r>
      <w:r w:rsidRPr="003C1EEA">
        <w:rPr>
          <w:rFonts w:ascii="Times New Roman" w:hAnsi="Times New Roman" w:cs="Times New Roman"/>
          <w:color w:val="252525"/>
          <w:spacing w:val="2"/>
          <w:sz w:val="28"/>
          <w:szCs w:val="28"/>
        </w:rPr>
        <w:t xml:space="preserve"> закон</w:t>
      </w:r>
      <w:r>
        <w:rPr>
          <w:rFonts w:ascii="Times New Roman" w:hAnsi="Times New Roman" w:cs="Times New Roman"/>
          <w:color w:val="252525"/>
          <w:spacing w:val="2"/>
          <w:sz w:val="28"/>
          <w:szCs w:val="28"/>
        </w:rPr>
        <w:t>а</w:t>
      </w:r>
      <w:r w:rsidRPr="003C1EEA">
        <w:rPr>
          <w:rFonts w:ascii="Times New Roman" w:hAnsi="Times New Roman" w:cs="Times New Roman"/>
          <w:color w:val="252525"/>
          <w:spacing w:val="2"/>
          <w:sz w:val="28"/>
          <w:szCs w:val="28"/>
        </w:rPr>
        <w:t xml:space="preserve"> "Об адвокатской деятельности и адвокатуре в Российской Федерации"</w:t>
      </w:r>
      <w:r w:rsidRPr="003C1EEA">
        <w:rPr>
          <w:rFonts w:ascii="Times New Roman" w:hAnsi="Times New Roman" w:cs="Times New Roman"/>
          <w:color w:val="252525"/>
          <w:sz w:val="28"/>
          <w:szCs w:val="28"/>
          <w:shd w:val="clear" w:color="auto" w:fill="FFFFFF"/>
        </w:rPr>
        <w:t xml:space="preserve">, </w:t>
      </w:r>
      <w:r w:rsidRPr="003C1EEA">
        <w:rPr>
          <w:rFonts w:ascii="Times New Roman" w:hAnsi="Times New Roman" w:cs="Times New Roman"/>
          <w:color w:val="000000"/>
          <w:sz w:val="28"/>
          <w:szCs w:val="28"/>
          <w:shd w:val="clear" w:color="auto" w:fill="FFFFFF"/>
        </w:rPr>
        <w:t>высшим органом адвокатской палаты субъекта Российской Федерации является собрание адвокатов. В случае, если численность адвокатской палаты превышает 100 человек, высшим органом адвокатской палаты является конференция адвокатов. Собрание (конференция) адвокатов созывается не реже одного раза в год.</w:t>
      </w:r>
    </w:p>
    <w:p w:rsidR="00D41775" w:rsidRPr="003C1EEA" w:rsidRDefault="00D41775" w:rsidP="00D41775">
      <w:pPr>
        <w:pStyle w:val="a6"/>
        <w:spacing w:line="276" w:lineRule="auto"/>
        <w:ind w:firstLine="708"/>
        <w:jc w:val="both"/>
        <w:rPr>
          <w:rFonts w:ascii="Times New Roman" w:hAnsi="Times New Roman" w:cs="Times New Roman"/>
          <w:sz w:val="28"/>
          <w:szCs w:val="28"/>
        </w:rPr>
      </w:pPr>
      <w:r w:rsidRPr="003C1EEA">
        <w:rPr>
          <w:rFonts w:ascii="Times New Roman" w:hAnsi="Times New Roman" w:cs="Times New Roman"/>
          <w:sz w:val="28"/>
          <w:szCs w:val="28"/>
        </w:rPr>
        <w:t xml:space="preserve">По состоянию на </w:t>
      </w:r>
      <w:r>
        <w:rPr>
          <w:rFonts w:ascii="Times New Roman" w:hAnsi="Times New Roman" w:cs="Times New Roman"/>
          <w:sz w:val="28"/>
          <w:szCs w:val="28"/>
        </w:rPr>
        <w:t>13.11.2025</w:t>
      </w:r>
      <w:r w:rsidRPr="003C1EEA">
        <w:rPr>
          <w:rFonts w:ascii="Times New Roman" w:hAnsi="Times New Roman" w:cs="Times New Roman"/>
          <w:sz w:val="28"/>
          <w:szCs w:val="28"/>
        </w:rPr>
        <w:t xml:space="preserve"> г., количество адвокатов в Адвокатской палате Республике Хакасия составляет </w:t>
      </w:r>
      <w:r w:rsidR="00EF222D">
        <w:rPr>
          <w:rFonts w:ascii="Times New Roman" w:hAnsi="Times New Roman" w:cs="Times New Roman"/>
          <w:sz w:val="28"/>
          <w:szCs w:val="28"/>
        </w:rPr>
        <w:t>218</w:t>
      </w:r>
      <w:r>
        <w:rPr>
          <w:rFonts w:ascii="Times New Roman" w:hAnsi="Times New Roman" w:cs="Times New Roman"/>
          <w:sz w:val="28"/>
          <w:szCs w:val="28"/>
        </w:rPr>
        <w:t xml:space="preserve"> </w:t>
      </w:r>
      <w:r w:rsidRPr="00961782">
        <w:rPr>
          <w:rFonts w:ascii="Times New Roman" w:hAnsi="Times New Roman" w:cs="Times New Roman"/>
          <w:sz w:val="28"/>
          <w:szCs w:val="28"/>
        </w:rPr>
        <w:t>человек</w:t>
      </w:r>
      <w:r>
        <w:rPr>
          <w:rFonts w:ascii="Times New Roman" w:hAnsi="Times New Roman" w:cs="Times New Roman"/>
          <w:sz w:val="28"/>
          <w:szCs w:val="28"/>
        </w:rPr>
        <w:t xml:space="preserve"> (201 действующий адвокат)</w:t>
      </w:r>
      <w:r w:rsidRPr="003C1EEA">
        <w:rPr>
          <w:rFonts w:ascii="Times New Roman" w:hAnsi="Times New Roman" w:cs="Times New Roman"/>
          <w:sz w:val="28"/>
          <w:szCs w:val="28"/>
        </w:rPr>
        <w:t>, в связи с чем, необходимо определить порядо</w:t>
      </w:r>
      <w:r>
        <w:rPr>
          <w:rFonts w:ascii="Times New Roman" w:hAnsi="Times New Roman" w:cs="Times New Roman"/>
          <w:sz w:val="28"/>
          <w:szCs w:val="28"/>
        </w:rPr>
        <w:t>к выдвижения делегатов на Вторую</w:t>
      </w:r>
      <w:r w:rsidRPr="003C1EEA">
        <w:rPr>
          <w:rFonts w:ascii="Times New Roman" w:hAnsi="Times New Roman" w:cs="Times New Roman"/>
          <w:sz w:val="28"/>
          <w:szCs w:val="28"/>
        </w:rPr>
        <w:t xml:space="preserve"> ежегодную конференцию адвокатов Адвокатской палаты Республики Хакасия (далее - Конференция).</w:t>
      </w:r>
    </w:p>
    <w:p w:rsidR="00D41775" w:rsidRPr="003C1EEA" w:rsidRDefault="00D41775" w:rsidP="00D41775">
      <w:pPr>
        <w:pStyle w:val="a6"/>
        <w:spacing w:line="276" w:lineRule="auto"/>
        <w:ind w:firstLine="708"/>
        <w:jc w:val="both"/>
        <w:rPr>
          <w:rFonts w:ascii="Times New Roman" w:hAnsi="Times New Roman" w:cs="Times New Roman"/>
          <w:sz w:val="28"/>
          <w:szCs w:val="28"/>
        </w:rPr>
      </w:pPr>
      <w:r w:rsidRPr="003C1EEA">
        <w:rPr>
          <w:rFonts w:ascii="Times New Roman" w:hAnsi="Times New Roman" w:cs="Times New Roman"/>
          <w:sz w:val="28"/>
          <w:szCs w:val="28"/>
        </w:rPr>
        <w:t>Советом определен следующий порядок выдвижения делегатов на Конференцию:</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1. В выдвижении делегатов на Конференцию принимают участие только действующие адвокаты, являющиеся членами Адвокатской палаты Республики Хакасия.</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2. Делегаты избираются по квоте один делегат от семи адвокатов, но не менее одного делегата от каждого района/города Республики Хакасия.</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3. Президент, вице-президенты РХ, председатель Квалификационной комиссии, Ревизионной комиссии</w:t>
      </w:r>
      <w:r>
        <w:rPr>
          <w:rFonts w:ascii="Times New Roman" w:hAnsi="Times New Roman" w:cs="Times New Roman"/>
          <w:sz w:val="28"/>
          <w:szCs w:val="28"/>
        </w:rPr>
        <w:t xml:space="preserve"> </w:t>
      </w:r>
      <w:r w:rsidRPr="003C1EEA">
        <w:rPr>
          <w:rFonts w:ascii="Times New Roman" w:hAnsi="Times New Roman" w:cs="Times New Roman"/>
          <w:sz w:val="28"/>
          <w:szCs w:val="28"/>
        </w:rPr>
        <w:t>АП РХ принимают участие в Конференции в качестве делегатов сверх численной квоты.</w:t>
      </w:r>
    </w:p>
    <w:p w:rsidR="00D41775" w:rsidRPr="003C1EEA" w:rsidRDefault="00D41775" w:rsidP="00D41775">
      <w:pPr>
        <w:pStyle w:val="a6"/>
        <w:spacing w:line="276" w:lineRule="auto"/>
        <w:jc w:val="both"/>
        <w:rPr>
          <w:rFonts w:ascii="Times New Roman" w:hAnsi="Times New Roman" w:cs="Times New Roman"/>
          <w:sz w:val="28"/>
          <w:szCs w:val="28"/>
          <w:highlight w:val="yellow"/>
        </w:rPr>
      </w:pPr>
      <w:r w:rsidRPr="003C1EEA">
        <w:rPr>
          <w:rFonts w:ascii="Times New Roman" w:hAnsi="Times New Roman" w:cs="Times New Roman"/>
          <w:sz w:val="28"/>
          <w:szCs w:val="28"/>
        </w:rPr>
        <w:tab/>
        <w:t xml:space="preserve">4. Адвокатские образования, в пределах одного района/города, численность которых составляет 4 и более адвокатов, для избрания делегатов в срок </w:t>
      </w:r>
      <w:r w:rsidRPr="00B221CF">
        <w:rPr>
          <w:rFonts w:ascii="Times New Roman" w:hAnsi="Times New Roman" w:cs="Times New Roman"/>
          <w:sz w:val="28"/>
          <w:szCs w:val="28"/>
        </w:rPr>
        <w:t>до 15.12.2025</w:t>
      </w:r>
      <w:r w:rsidRPr="003C1EEA">
        <w:rPr>
          <w:rFonts w:ascii="Times New Roman" w:hAnsi="Times New Roman" w:cs="Times New Roman"/>
          <w:sz w:val="28"/>
          <w:szCs w:val="28"/>
        </w:rPr>
        <w:t xml:space="preserve"> года проводят в своих адвокатских образованиях выборы делегатов на Конференцию. Порядок выдвижения кандидатов и избрания делегатов определяется внутренним решением адвокатского образования. Ответственными за организацию собраний, указанных в настоящем</w:t>
      </w:r>
      <w:r>
        <w:rPr>
          <w:rFonts w:ascii="Times New Roman" w:hAnsi="Times New Roman" w:cs="Times New Roman"/>
          <w:sz w:val="28"/>
          <w:szCs w:val="28"/>
        </w:rPr>
        <w:t xml:space="preserve"> </w:t>
      </w:r>
      <w:r w:rsidRPr="003C1EEA">
        <w:rPr>
          <w:rFonts w:ascii="Times New Roman" w:hAnsi="Times New Roman" w:cs="Times New Roman"/>
          <w:sz w:val="28"/>
          <w:szCs w:val="28"/>
        </w:rPr>
        <w:t>пункте, являются руководители адвокатских образований.</w:t>
      </w:r>
    </w:p>
    <w:p w:rsidR="00D41775" w:rsidRPr="003C1EEA" w:rsidRDefault="00D41775" w:rsidP="00D41775">
      <w:pPr>
        <w:pStyle w:val="a6"/>
        <w:spacing w:line="276" w:lineRule="auto"/>
        <w:ind w:firstLine="708"/>
        <w:jc w:val="both"/>
        <w:rPr>
          <w:rFonts w:ascii="Times New Roman" w:hAnsi="Times New Roman" w:cs="Times New Roman"/>
          <w:sz w:val="28"/>
          <w:szCs w:val="28"/>
        </w:rPr>
      </w:pPr>
      <w:r w:rsidRPr="003C1EEA">
        <w:rPr>
          <w:rFonts w:ascii="Times New Roman" w:hAnsi="Times New Roman" w:cs="Times New Roman"/>
          <w:sz w:val="28"/>
          <w:szCs w:val="28"/>
        </w:rPr>
        <w:t xml:space="preserve">В случае если число адвокатов, участвующих в выдвижении делегатов, не является кратным числу 7, то адвокаты вправе избрать делегатов </w:t>
      </w:r>
      <w:r w:rsidRPr="003C1EEA">
        <w:rPr>
          <w:rFonts w:ascii="Times New Roman" w:hAnsi="Times New Roman" w:cs="Times New Roman"/>
          <w:sz w:val="28"/>
          <w:szCs w:val="28"/>
        </w:rPr>
        <w:lastRenderedPageBreak/>
        <w:t xml:space="preserve">по следующему принципу: если число адвокатов, участвующих в избрании делегатов, превышает 7  человек, то в случае оставшейся численности 4 и более адвоката - избирается один адвокат, </w:t>
      </w:r>
      <w:r w:rsidR="00222E8B" w:rsidRPr="003C1EEA">
        <w:rPr>
          <w:rFonts w:ascii="Times New Roman" w:hAnsi="Times New Roman" w:cs="Times New Roman"/>
          <w:sz w:val="28"/>
          <w:szCs w:val="28"/>
        </w:rPr>
        <w:t>3</w:t>
      </w:r>
      <w:r w:rsidR="00222E8B">
        <w:rPr>
          <w:rFonts w:ascii="Times New Roman" w:hAnsi="Times New Roman" w:cs="Times New Roman"/>
          <w:sz w:val="28"/>
          <w:szCs w:val="28"/>
        </w:rPr>
        <w:t xml:space="preserve"> и </w:t>
      </w:r>
      <w:r w:rsidRPr="003C1EEA">
        <w:rPr>
          <w:rFonts w:ascii="Times New Roman" w:hAnsi="Times New Roman" w:cs="Times New Roman"/>
          <w:sz w:val="28"/>
          <w:szCs w:val="28"/>
        </w:rPr>
        <w:t>менее  адвокатов — делегат не избирается.</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 xml:space="preserve">По результатам избрания в срок до </w:t>
      </w:r>
      <w:r w:rsidRPr="00B221CF">
        <w:rPr>
          <w:rFonts w:ascii="Times New Roman" w:hAnsi="Times New Roman" w:cs="Times New Roman"/>
          <w:sz w:val="28"/>
          <w:szCs w:val="28"/>
        </w:rPr>
        <w:t>17.12.2025</w:t>
      </w:r>
      <w:r w:rsidRPr="003C1EEA">
        <w:rPr>
          <w:rFonts w:ascii="Times New Roman" w:hAnsi="Times New Roman" w:cs="Times New Roman"/>
          <w:sz w:val="28"/>
          <w:szCs w:val="28"/>
        </w:rPr>
        <w:t xml:space="preserve"> г. в Адвокатскую палату РХ предоставляется протоколы об избрании делегатов на Конференцию.</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 xml:space="preserve">5. Выборы делегатов среди адвокатов, являющихся членами адвокатских образований </w:t>
      </w:r>
      <w:r>
        <w:rPr>
          <w:rFonts w:ascii="Times New Roman" w:hAnsi="Times New Roman" w:cs="Times New Roman"/>
          <w:sz w:val="28"/>
          <w:szCs w:val="28"/>
        </w:rPr>
        <w:t xml:space="preserve">г. Абакана </w:t>
      </w:r>
      <w:r w:rsidRPr="003C1EEA">
        <w:rPr>
          <w:rFonts w:ascii="Times New Roman" w:hAnsi="Times New Roman" w:cs="Times New Roman"/>
          <w:sz w:val="28"/>
          <w:szCs w:val="28"/>
        </w:rPr>
        <w:t>с численностью менее 4 адвокатов и адвокатских кабинетах в г. Абакане, проводятся в два этапа:</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5.1.1. Выдвижение Кандидатов: делегатом Конференции может быть избран только адвокат, письменно заявивший о выдвижении своей кандидатуры в делегаты Конференции путем предоставления в Адвокатскую палату </w:t>
      </w:r>
      <w:hyperlink r:id="rId8" w:history="1">
        <w:r w:rsidRPr="003C1EEA">
          <w:rPr>
            <w:rStyle w:val="a4"/>
            <w:rFonts w:ascii="Times New Roman" w:hAnsi="Times New Roman" w:cs="Times New Roman"/>
            <w:color w:val="auto"/>
            <w:sz w:val="28"/>
            <w:szCs w:val="28"/>
            <w:u w:val="none"/>
          </w:rPr>
          <w:t>Заявления по установленной форме</w:t>
        </w:r>
      </w:hyperlink>
      <w:r w:rsidRPr="003C1EEA">
        <w:rPr>
          <w:rFonts w:ascii="Times New Roman" w:hAnsi="Times New Roman" w:cs="Times New Roman"/>
          <w:sz w:val="28"/>
          <w:szCs w:val="28"/>
        </w:rPr>
        <w:t xml:space="preserve"> в срок до </w:t>
      </w:r>
      <w:r>
        <w:rPr>
          <w:rFonts w:ascii="Times New Roman" w:hAnsi="Times New Roman" w:cs="Times New Roman"/>
          <w:sz w:val="28"/>
          <w:szCs w:val="28"/>
        </w:rPr>
        <w:t>20</w:t>
      </w:r>
      <w:r w:rsidRPr="003C1EEA">
        <w:rPr>
          <w:rFonts w:ascii="Times New Roman" w:hAnsi="Times New Roman" w:cs="Times New Roman"/>
          <w:sz w:val="28"/>
          <w:szCs w:val="28"/>
        </w:rPr>
        <w:t>.11</w:t>
      </w:r>
      <w:r>
        <w:rPr>
          <w:rFonts w:ascii="Times New Roman" w:hAnsi="Times New Roman" w:cs="Times New Roman"/>
          <w:sz w:val="28"/>
          <w:szCs w:val="28"/>
        </w:rPr>
        <w:t>.2025</w:t>
      </w:r>
      <w:r w:rsidRPr="003C1EEA">
        <w:rPr>
          <w:rFonts w:ascii="Times New Roman" w:hAnsi="Times New Roman" w:cs="Times New Roman"/>
          <w:sz w:val="28"/>
          <w:szCs w:val="28"/>
        </w:rPr>
        <w:t xml:space="preserve"> г.</w:t>
      </w:r>
      <w:r>
        <w:rPr>
          <w:rFonts w:ascii="Times New Roman" w:hAnsi="Times New Roman" w:cs="Times New Roman"/>
          <w:sz w:val="28"/>
          <w:szCs w:val="28"/>
        </w:rPr>
        <w:t xml:space="preserve"> (включительно).</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5.1.2.</w:t>
      </w:r>
      <w:r w:rsidRPr="00B221CF">
        <w:rPr>
          <w:rFonts w:ascii="Times New Roman" w:hAnsi="Times New Roman" w:cs="Times New Roman"/>
          <w:sz w:val="28"/>
          <w:szCs w:val="28"/>
        </w:rPr>
        <w:t>21.11</w:t>
      </w:r>
      <w:r>
        <w:rPr>
          <w:rFonts w:ascii="Times New Roman" w:hAnsi="Times New Roman" w:cs="Times New Roman"/>
          <w:sz w:val="28"/>
          <w:szCs w:val="28"/>
        </w:rPr>
        <w:t>.2025</w:t>
      </w:r>
      <w:r w:rsidRPr="003C1EEA">
        <w:rPr>
          <w:rFonts w:ascii="Times New Roman" w:hAnsi="Times New Roman" w:cs="Times New Roman"/>
          <w:sz w:val="28"/>
          <w:szCs w:val="28"/>
        </w:rPr>
        <w:t xml:space="preserve"> года по результатам выдвижения, Счетной комиссией утверждается список кандидатов, который публикуется в общих группах Адвокатской палаты РХ в мессенджерах</w:t>
      </w:r>
      <w:r>
        <w:rPr>
          <w:rFonts w:ascii="Times New Roman" w:hAnsi="Times New Roman" w:cs="Times New Roman"/>
          <w:sz w:val="28"/>
          <w:szCs w:val="28"/>
        </w:rPr>
        <w:t xml:space="preserve"> </w:t>
      </w:r>
      <w:r w:rsidRPr="003C1EEA">
        <w:rPr>
          <w:rFonts w:ascii="Times New Roman" w:hAnsi="Times New Roman" w:cs="Times New Roman"/>
          <w:sz w:val="28"/>
          <w:szCs w:val="28"/>
        </w:rPr>
        <w:t xml:space="preserve">WhatsApp, Telegram. </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 xml:space="preserve">5.2. Выборы делегатов: адвокаты осуществляют голосование путем заполнения именных бюллетеней, форма которого утверждается Советом АП РХ, и размещается в мессенджерах WhatsApp, Telegram. Заполненные бюллетени адвокатам необходимо сдать в срок </w:t>
      </w:r>
      <w:r w:rsidRPr="00B221CF">
        <w:rPr>
          <w:rFonts w:ascii="Times New Roman" w:hAnsi="Times New Roman" w:cs="Times New Roman"/>
          <w:sz w:val="28"/>
          <w:szCs w:val="28"/>
        </w:rPr>
        <w:t>до 15.12.2025</w:t>
      </w:r>
      <w:r w:rsidRPr="003C1EEA">
        <w:rPr>
          <w:rFonts w:ascii="Times New Roman" w:hAnsi="Times New Roman" w:cs="Times New Roman"/>
          <w:sz w:val="28"/>
          <w:szCs w:val="28"/>
        </w:rPr>
        <w:t xml:space="preserve"> года</w:t>
      </w:r>
      <w:r>
        <w:rPr>
          <w:rFonts w:ascii="Times New Roman" w:hAnsi="Times New Roman" w:cs="Times New Roman"/>
          <w:sz w:val="28"/>
          <w:szCs w:val="28"/>
        </w:rPr>
        <w:t xml:space="preserve"> (включительно)</w:t>
      </w:r>
      <w:r w:rsidRPr="003C1EEA">
        <w:rPr>
          <w:rFonts w:ascii="Times New Roman" w:hAnsi="Times New Roman" w:cs="Times New Roman"/>
          <w:sz w:val="28"/>
          <w:szCs w:val="28"/>
        </w:rPr>
        <w:t xml:space="preserve"> в Адвокатскую палату РХ.</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5.3. Выборы делегатов считаются правомочными вне зависимости от числа адвокатов, принявших участие их выборе. При принятии решений каждый участник собрания обладает одним голосом за одного делегата. При этом передача права голоса участником собрания иным лицам, в том числе, по доверенности не допускается.</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5.4. В случае, если количество выдвинувшихся делегатов составляет необходимое или меньшее число делегатов от установленной нормы представительства, избранными считаются все делегаты и второй этап (п. 5.1.2., 5.2.) выдвижения не проводится.</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В случае если количество выдвинутых кандидатов в делегатов, превышает установленную норму представительства, проводится</w:t>
      </w:r>
      <w:r>
        <w:rPr>
          <w:rFonts w:ascii="Times New Roman" w:hAnsi="Times New Roman" w:cs="Times New Roman"/>
          <w:sz w:val="28"/>
          <w:szCs w:val="28"/>
        </w:rPr>
        <w:t xml:space="preserve"> </w:t>
      </w:r>
      <w:r w:rsidRPr="003C1EEA">
        <w:rPr>
          <w:rFonts w:ascii="Times New Roman" w:hAnsi="Times New Roman" w:cs="Times New Roman"/>
          <w:sz w:val="28"/>
          <w:szCs w:val="28"/>
        </w:rPr>
        <w:t>рейтинговое голосование. По итогам рейтингового голосования избранными делегатами считаются те из кандидатов, которые набрали относительное большинство голосов по сравнению с другими.</w:t>
      </w:r>
    </w:p>
    <w:p w:rsidR="00D41775" w:rsidRPr="00B221CF"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 xml:space="preserve">6. В г. Саяногорске, г. Черногорске адвокатские образования численностью менее 4 адвокатов и адвокатские кабинеты, проводят общее собрание, на котором самостоятельно определяют порядок выдвижения </w:t>
      </w:r>
      <w:r w:rsidRPr="003C1EEA">
        <w:rPr>
          <w:rFonts w:ascii="Times New Roman" w:hAnsi="Times New Roman" w:cs="Times New Roman"/>
          <w:sz w:val="28"/>
          <w:szCs w:val="28"/>
        </w:rPr>
        <w:lastRenderedPageBreak/>
        <w:t xml:space="preserve">кандидатов и голосования за них. По результатам избрания в срок до </w:t>
      </w:r>
      <w:r w:rsidRPr="00B221CF">
        <w:rPr>
          <w:rFonts w:ascii="Times New Roman" w:hAnsi="Times New Roman" w:cs="Times New Roman"/>
          <w:sz w:val="28"/>
          <w:szCs w:val="28"/>
        </w:rPr>
        <w:t xml:space="preserve">15.12.2025 г. в Адвокатскую палату РХ предоставляется протоколы об избрании делегатов на Конференцию. Ответственными, за организацию и проведения выборов делегатов назначить: в г. Саяногорске – адвоката </w:t>
      </w:r>
      <w:r w:rsidRPr="007E1F0C">
        <w:rPr>
          <w:rFonts w:ascii="Times New Roman" w:hAnsi="Times New Roman" w:cs="Times New Roman"/>
          <w:sz w:val="28"/>
          <w:szCs w:val="28"/>
        </w:rPr>
        <w:t>Проскурина А.Б., в г</w:t>
      </w:r>
      <w:r w:rsidRPr="00B221CF">
        <w:rPr>
          <w:rFonts w:ascii="Times New Roman" w:hAnsi="Times New Roman" w:cs="Times New Roman"/>
          <w:sz w:val="28"/>
          <w:szCs w:val="28"/>
        </w:rPr>
        <w:t>. Черногорске  - адвоката Недбаеву</w:t>
      </w:r>
      <w:r>
        <w:rPr>
          <w:rFonts w:ascii="Times New Roman" w:hAnsi="Times New Roman" w:cs="Times New Roman"/>
          <w:sz w:val="28"/>
          <w:szCs w:val="28"/>
        </w:rPr>
        <w:t xml:space="preserve"> </w:t>
      </w:r>
      <w:r w:rsidRPr="00B221CF">
        <w:rPr>
          <w:rFonts w:ascii="Times New Roman" w:hAnsi="Times New Roman" w:cs="Times New Roman"/>
          <w:sz w:val="28"/>
          <w:szCs w:val="28"/>
        </w:rPr>
        <w:t>Г.Г.</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7. Для формирования списка делегатов, утверждения списка кандидатов в делегаты, подсчета бюллетеней и подведения общих итогов выдвижения делегатов из числа членов Совета АП РХ формируется Счетная комиссия из трех человек.</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 xml:space="preserve">8. По результатам выдвижения делегатов Счетной комиссией в срок до </w:t>
      </w:r>
      <w:r w:rsidRPr="00B221CF">
        <w:rPr>
          <w:rFonts w:ascii="Times New Roman" w:hAnsi="Times New Roman" w:cs="Times New Roman"/>
          <w:sz w:val="28"/>
          <w:szCs w:val="28"/>
        </w:rPr>
        <w:t>18.12.2025 г. составляется</w:t>
      </w:r>
      <w:r w:rsidRPr="003C1EEA">
        <w:rPr>
          <w:rFonts w:ascii="Times New Roman" w:hAnsi="Times New Roman" w:cs="Times New Roman"/>
          <w:sz w:val="28"/>
          <w:szCs w:val="28"/>
        </w:rPr>
        <w:t xml:space="preserve"> протокол, содержащий Список делегатов Конференции, который утверждается Советом и доводится до сведения адвокатов путем размещения его на сайте Адвокатской палат Республики Хакасия не </w:t>
      </w:r>
      <w:r w:rsidRPr="00B221CF">
        <w:rPr>
          <w:rFonts w:ascii="Times New Roman" w:hAnsi="Times New Roman" w:cs="Times New Roman"/>
          <w:sz w:val="28"/>
          <w:szCs w:val="28"/>
        </w:rPr>
        <w:t>позднее 22.12.2025 года.</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9. Участие делегата в работе Конференции является профессиональной обязанностью адвокатов, неисполнение которой (в том числе, неявка делегата на Конференцию, отсутствие без уважительных причин делегата на Конференции) может повлечь за собой применение мер дисциплинарной ответственности в порядке, предусмотренном Кодексом профессиональной этики адвоката.</w:t>
      </w:r>
    </w:p>
    <w:p w:rsidR="00D41775" w:rsidRPr="003C1EEA" w:rsidRDefault="00D41775" w:rsidP="00D41775">
      <w:pPr>
        <w:pStyle w:val="a6"/>
        <w:spacing w:line="276" w:lineRule="auto"/>
        <w:jc w:val="both"/>
        <w:rPr>
          <w:rFonts w:ascii="Times New Roman" w:hAnsi="Times New Roman" w:cs="Times New Roman"/>
          <w:sz w:val="28"/>
          <w:szCs w:val="28"/>
        </w:rPr>
      </w:pPr>
      <w:r w:rsidRPr="003C1EEA">
        <w:rPr>
          <w:rFonts w:ascii="Times New Roman" w:hAnsi="Times New Roman" w:cs="Times New Roman"/>
          <w:sz w:val="28"/>
          <w:szCs w:val="28"/>
        </w:rPr>
        <w:tab/>
        <w:t>10. Определить следующие квоты на выборы делегатов:</w:t>
      </w:r>
    </w:p>
    <w:p w:rsidR="00D41775" w:rsidRPr="003C1EEA" w:rsidRDefault="00D41775" w:rsidP="00D41775">
      <w:pPr>
        <w:pStyle w:val="a6"/>
        <w:spacing w:line="276" w:lineRule="auto"/>
        <w:jc w:val="both"/>
        <w:rPr>
          <w:rFonts w:ascii="Times New Roman" w:hAnsi="Times New Roman" w:cs="Times New Roman"/>
          <w:sz w:val="28"/>
          <w:szCs w:val="28"/>
        </w:rPr>
      </w:pPr>
    </w:p>
    <w:tbl>
      <w:tblPr>
        <w:tblStyle w:val="a7"/>
        <w:tblW w:w="0" w:type="auto"/>
        <w:tblLook w:val="04A0"/>
      </w:tblPr>
      <w:tblGrid>
        <w:gridCol w:w="675"/>
        <w:gridCol w:w="4820"/>
        <w:gridCol w:w="1559"/>
        <w:gridCol w:w="1418"/>
      </w:tblGrid>
      <w:tr w:rsidR="00D41775" w:rsidRPr="008E1F70" w:rsidTr="00B05A15">
        <w:tc>
          <w:tcPr>
            <w:tcW w:w="675"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jc w:val="center"/>
              <w:rPr>
                <w:rFonts w:ascii="Times New Roman" w:hAnsi="Times New Roman" w:cs="Times New Roman"/>
                <w:color w:val="000000" w:themeColor="text1"/>
                <w:sz w:val="20"/>
                <w:szCs w:val="20"/>
              </w:rPr>
            </w:pP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адвокаты</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делегаты</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Президент АП РХ</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Вице-президенты АП РХ</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2</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2</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Председатель КК АП РХ</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Председатель РК АП РХ</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г. Абаза</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3</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 xml:space="preserve">г. Саяногорск </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8</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г. Сорск</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2</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г. Черногорск (КА Альянс и АК)</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11</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2</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Алтайский район</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3</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Аскизкий район</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4</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Бейский район</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4</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Боградский район</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3</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pStyle w:val="1"/>
              <w:spacing w:before="0" w:beforeAutospacing="0" w:after="60" w:afterAutospacing="0"/>
              <w:outlineLvl w:val="0"/>
              <w:rPr>
                <w:b w:val="0"/>
                <w:bCs w:val="0"/>
                <w:sz w:val="20"/>
                <w:szCs w:val="20"/>
              </w:rPr>
            </w:pPr>
            <w:r w:rsidRPr="00CA3F73">
              <w:rPr>
                <w:b w:val="0"/>
                <w:bCs w:val="0"/>
                <w:sz w:val="20"/>
                <w:szCs w:val="20"/>
              </w:rPr>
              <w:t>Орджоникидзевский р-н</w:t>
            </w:r>
          </w:p>
          <w:p w:rsidR="00D41775" w:rsidRPr="00CA3F73" w:rsidRDefault="00D41775" w:rsidP="00B05A15">
            <w:pPr>
              <w:pStyle w:val="a6"/>
              <w:spacing w:line="276" w:lineRule="auto"/>
              <w:rPr>
                <w:rFonts w:ascii="Times New Roman" w:hAnsi="Times New Roman" w:cs="Times New Roman"/>
                <w:sz w:val="20"/>
                <w:szCs w:val="20"/>
              </w:rPr>
            </w:pPr>
            <w:r w:rsidRPr="00CA3F73">
              <w:rPr>
                <w:rFonts w:ascii="Times New Roman" w:hAnsi="Times New Roman" w:cs="Times New Roman"/>
                <w:sz w:val="20"/>
                <w:szCs w:val="20"/>
              </w:rPr>
              <w:t>п. Копьево</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3</w:t>
            </w: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1</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pStyle w:val="a6"/>
              <w:spacing w:line="276" w:lineRule="auto"/>
              <w:rPr>
                <w:rFonts w:ascii="Times New Roman" w:hAnsi="Times New Roman" w:cs="Times New Roman"/>
                <w:sz w:val="20"/>
                <w:szCs w:val="20"/>
              </w:rPr>
            </w:pPr>
            <w:r w:rsidRPr="00CA3F73">
              <w:rPr>
                <w:rFonts w:ascii="Times New Roman" w:hAnsi="Times New Roman" w:cs="Times New Roman"/>
                <w:sz w:val="20"/>
                <w:szCs w:val="20"/>
              </w:rPr>
              <w:t>Таштыпский район</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4</w:t>
            </w: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1</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pStyle w:val="a6"/>
              <w:spacing w:line="276" w:lineRule="auto"/>
              <w:rPr>
                <w:rFonts w:ascii="Times New Roman" w:hAnsi="Times New Roman" w:cs="Times New Roman"/>
                <w:sz w:val="20"/>
                <w:szCs w:val="20"/>
              </w:rPr>
            </w:pPr>
            <w:r w:rsidRPr="00CA3F73">
              <w:rPr>
                <w:rFonts w:ascii="Times New Roman" w:hAnsi="Times New Roman" w:cs="Times New Roman"/>
                <w:sz w:val="20"/>
                <w:szCs w:val="20"/>
              </w:rPr>
              <w:t>Ширинский район</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3</w:t>
            </w: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1</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pStyle w:val="a6"/>
              <w:spacing w:line="276" w:lineRule="auto"/>
              <w:rPr>
                <w:rFonts w:ascii="Times New Roman" w:hAnsi="Times New Roman" w:cs="Times New Roman"/>
                <w:sz w:val="20"/>
                <w:szCs w:val="20"/>
              </w:rPr>
            </w:pPr>
            <w:r w:rsidRPr="00CA3F73">
              <w:rPr>
                <w:rFonts w:ascii="Times New Roman" w:hAnsi="Times New Roman" w:cs="Times New Roman"/>
                <w:sz w:val="20"/>
                <w:szCs w:val="20"/>
              </w:rPr>
              <w:t>Усть  - Абаканский район</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7</w:t>
            </w: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pStyle w:val="a6"/>
              <w:spacing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Городская коллегия адвокатов г. Саяногорска</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4</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 xml:space="preserve">КА «Советник» </w:t>
            </w:r>
          </w:p>
          <w:p w:rsidR="00D41775" w:rsidRPr="008E1F70" w:rsidRDefault="00D41775" w:rsidP="00B05A15">
            <w:pPr>
              <w:rPr>
                <w:rFonts w:ascii="Times New Roman" w:hAnsi="Times New Roman" w:cs="Times New Roman"/>
                <w:color w:val="000000" w:themeColor="text1"/>
                <w:sz w:val="20"/>
                <w:szCs w:val="20"/>
              </w:rPr>
            </w:pP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5</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Черногорская коллегия адвокатов «ЛИГА»</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5</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8E1F70" w:rsidRDefault="00D41775" w:rsidP="00B05A15">
            <w:pPr>
              <w:pStyle w:val="a6"/>
              <w:numPr>
                <w:ilvl w:val="0"/>
                <w:numId w:val="5"/>
              </w:numPr>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spacing w:after="200" w:line="276" w:lineRule="auto"/>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 xml:space="preserve">МКА № 5 </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7</w:t>
            </w: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1</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spacing w:after="200" w:line="276" w:lineRule="auto"/>
              <w:rPr>
                <w:rFonts w:ascii="Times New Roman" w:hAnsi="Times New Roman" w:cs="Times New Roman"/>
                <w:sz w:val="20"/>
                <w:szCs w:val="20"/>
              </w:rPr>
            </w:pPr>
            <w:r w:rsidRPr="00CA3F73">
              <w:rPr>
                <w:rFonts w:ascii="Times New Roman" w:hAnsi="Times New Roman" w:cs="Times New Roman"/>
                <w:sz w:val="20"/>
                <w:szCs w:val="20"/>
              </w:rPr>
              <w:t xml:space="preserve">АГКА </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25</w:t>
            </w: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4</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spacing w:after="200" w:line="276" w:lineRule="auto"/>
              <w:rPr>
                <w:rFonts w:ascii="Times New Roman" w:hAnsi="Times New Roman" w:cs="Times New Roman"/>
                <w:sz w:val="20"/>
                <w:szCs w:val="20"/>
              </w:rPr>
            </w:pPr>
            <w:r w:rsidRPr="00CA3F73">
              <w:rPr>
                <w:rFonts w:ascii="Times New Roman" w:hAnsi="Times New Roman" w:cs="Times New Roman"/>
                <w:sz w:val="20"/>
                <w:szCs w:val="20"/>
              </w:rPr>
              <w:t xml:space="preserve">КА «Вердикт» </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17</w:t>
            </w: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2</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spacing w:after="200" w:line="276" w:lineRule="auto"/>
              <w:rPr>
                <w:rFonts w:ascii="Times New Roman" w:hAnsi="Times New Roman" w:cs="Times New Roman"/>
                <w:sz w:val="20"/>
                <w:szCs w:val="20"/>
              </w:rPr>
            </w:pPr>
            <w:r w:rsidRPr="00CA3F73">
              <w:rPr>
                <w:rFonts w:ascii="Times New Roman" w:hAnsi="Times New Roman" w:cs="Times New Roman"/>
                <w:sz w:val="20"/>
                <w:szCs w:val="20"/>
              </w:rPr>
              <w:t>Бюро «Фемида»</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8</w:t>
            </w:r>
          </w:p>
          <w:p w:rsidR="00D41775" w:rsidRPr="00CA3F73" w:rsidRDefault="00D41775" w:rsidP="00B05A15">
            <w:pPr>
              <w:pStyle w:val="a6"/>
              <w:spacing w:line="276" w:lineRule="auto"/>
              <w:jc w:val="both"/>
              <w:rPr>
                <w:rFonts w:ascii="Times New Roman" w:hAnsi="Times New Roman" w:cs="Times New Roman"/>
                <w:sz w:val="20"/>
                <w:szCs w:val="20"/>
              </w:rPr>
            </w:pP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1</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spacing w:after="200" w:line="276" w:lineRule="auto"/>
              <w:rPr>
                <w:rFonts w:ascii="Times New Roman" w:hAnsi="Times New Roman" w:cs="Times New Roman"/>
                <w:sz w:val="20"/>
                <w:szCs w:val="20"/>
              </w:rPr>
            </w:pPr>
            <w:r w:rsidRPr="00CA3F73">
              <w:rPr>
                <w:rFonts w:ascii="Times New Roman" w:hAnsi="Times New Roman" w:cs="Times New Roman"/>
                <w:sz w:val="20"/>
                <w:szCs w:val="20"/>
              </w:rPr>
              <w:t xml:space="preserve">ХРКА  Абаканский филиал </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6</w:t>
            </w: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r>
      <w:tr w:rsidR="00D41775" w:rsidRPr="008E1F70" w:rsidTr="00B05A15">
        <w:tc>
          <w:tcPr>
            <w:tcW w:w="675" w:type="dxa"/>
          </w:tcPr>
          <w:p w:rsidR="00D41775" w:rsidRPr="00CA3F73" w:rsidRDefault="00D41775" w:rsidP="00B05A15">
            <w:pPr>
              <w:pStyle w:val="a6"/>
              <w:numPr>
                <w:ilvl w:val="0"/>
                <w:numId w:val="5"/>
              </w:numPr>
              <w:spacing w:line="276" w:lineRule="auto"/>
              <w:ind w:left="348"/>
              <w:rPr>
                <w:rFonts w:ascii="Times New Roman" w:hAnsi="Times New Roman" w:cs="Times New Roman"/>
                <w:sz w:val="20"/>
                <w:szCs w:val="20"/>
              </w:rPr>
            </w:pPr>
          </w:p>
        </w:tc>
        <w:tc>
          <w:tcPr>
            <w:tcW w:w="4820" w:type="dxa"/>
          </w:tcPr>
          <w:p w:rsidR="00D41775" w:rsidRPr="00CA3F73" w:rsidRDefault="00D41775" w:rsidP="00B05A15">
            <w:pPr>
              <w:rPr>
                <w:rFonts w:ascii="Times New Roman" w:hAnsi="Times New Roman" w:cs="Times New Roman"/>
                <w:sz w:val="20"/>
                <w:szCs w:val="20"/>
              </w:rPr>
            </w:pPr>
            <w:r w:rsidRPr="00CA3F73">
              <w:rPr>
                <w:rFonts w:ascii="Times New Roman" w:hAnsi="Times New Roman" w:cs="Times New Roman"/>
                <w:sz w:val="20"/>
                <w:szCs w:val="20"/>
              </w:rPr>
              <w:t xml:space="preserve">Адвокатские кабинеты </w:t>
            </w:r>
            <w:r>
              <w:rPr>
                <w:rFonts w:ascii="Times New Roman" w:hAnsi="Times New Roman" w:cs="Times New Roman"/>
                <w:sz w:val="20"/>
                <w:szCs w:val="20"/>
              </w:rPr>
              <w:t xml:space="preserve">63 </w:t>
            </w:r>
            <w:r w:rsidRPr="00CA3F73">
              <w:rPr>
                <w:rFonts w:ascii="Times New Roman" w:hAnsi="Times New Roman" w:cs="Times New Roman"/>
                <w:sz w:val="20"/>
                <w:szCs w:val="20"/>
              </w:rPr>
              <w:t>адвокатов,</w:t>
            </w:r>
          </w:p>
          <w:p w:rsidR="00D41775" w:rsidRPr="00CA3F73" w:rsidRDefault="00D41775" w:rsidP="00B05A15">
            <w:pPr>
              <w:rPr>
                <w:rFonts w:ascii="Times New Roman" w:hAnsi="Times New Roman" w:cs="Times New Roman"/>
                <w:sz w:val="20"/>
                <w:szCs w:val="20"/>
              </w:rPr>
            </w:pPr>
            <w:r w:rsidRPr="00CA3F73">
              <w:rPr>
                <w:rFonts w:ascii="Times New Roman" w:hAnsi="Times New Roman" w:cs="Times New Roman"/>
                <w:sz w:val="20"/>
                <w:szCs w:val="20"/>
              </w:rPr>
              <w:t>Санкт-Петербург (</w:t>
            </w:r>
            <w:r>
              <w:rPr>
                <w:rFonts w:ascii="Times New Roman" w:hAnsi="Times New Roman" w:cs="Times New Roman"/>
                <w:sz w:val="20"/>
                <w:szCs w:val="20"/>
              </w:rPr>
              <w:t>2</w:t>
            </w:r>
            <w:r w:rsidRPr="00CA3F73">
              <w:rPr>
                <w:rFonts w:ascii="Times New Roman" w:hAnsi="Times New Roman" w:cs="Times New Roman"/>
                <w:sz w:val="20"/>
                <w:szCs w:val="20"/>
              </w:rPr>
              <w:t xml:space="preserve"> адвоката), </w:t>
            </w:r>
          </w:p>
          <w:p w:rsidR="00D41775" w:rsidRPr="00CA3F73" w:rsidRDefault="00D41775" w:rsidP="00B05A15">
            <w:pPr>
              <w:rPr>
                <w:rFonts w:ascii="Times New Roman" w:hAnsi="Times New Roman" w:cs="Times New Roman"/>
                <w:sz w:val="20"/>
                <w:szCs w:val="20"/>
              </w:rPr>
            </w:pPr>
            <w:r w:rsidRPr="00CA3F73">
              <w:rPr>
                <w:rFonts w:ascii="Times New Roman" w:hAnsi="Times New Roman" w:cs="Times New Roman"/>
                <w:sz w:val="20"/>
                <w:szCs w:val="20"/>
              </w:rPr>
              <w:t>АБ «Богуш и партнеры» (2 адвоката)</w:t>
            </w:r>
          </w:p>
          <w:p w:rsidR="00D41775" w:rsidRPr="00CA3F73" w:rsidRDefault="00D41775" w:rsidP="00B05A15">
            <w:pPr>
              <w:rPr>
                <w:rFonts w:ascii="Times New Roman" w:hAnsi="Times New Roman" w:cs="Times New Roman"/>
                <w:sz w:val="20"/>
                <w:szCs w:val="20"/>
              </w:rPr>
            </w:pPr>
            <w:r w:rsidRPr="00CA3F73">
              <w:rPr>
                <w:rFonts w:ascii="Times New Roman" w:hAnsi="Times New Roman" w:cs="Times New Roman"/>
                <w:sz w:val="20"/>
                <w:szCs w:val="20"/>
              </w:rPr>
              <w:t>АБ «Величко» (2 адвоката)</w:t>
            </w:r>
          </w:p>
        </w:tc>
        <w:tc>
          <w:tcPr>
            <w:tcW w:w="1559" w:type="dxa"/>
          </w:tcPr>
          <w:p w:rsidR="00D41775" w:rsidRPr="00CA3F73" w:rsidRDefault="00D41775" w:rsidP="00B05A15">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69</w:t>
            </w:r>
          </w:p>
        </w:tc>
        <w:tc>
          <w:tcPr>
            <w:tcW w:w="1418" w:type="dxa"/>
          </w:tcPr>
          <w:p w:rsidR="00D41775" w:rsidRPr="00CA3F73" w:rsidRDefault="00D41775" w:rsidP="00B05A15">
            <w:pPr>
              <w:pStyle w:val="a6"/>
              <w:spacing w:line="276" w:lineRule="auto"/>
              <w:jc w:val="both"/>
              <w:rPr>
                <w:rFonts w:ascii="Times New Roman" w:hAnsi="Times New Roman" w:cs="Times New Roman"/>
                <w:sz w:val="20"/>
                <w:szCs w:val="20"/>
              </w:rPr>
            </w:pPr>
            <w:r w:rsidRPr="00CA3F73">
              <w:rPr>
                <w:rFonts w:ascii="Times New Roman" w:hAnsi="Times New Roman" w:cs="Times New Roman"/>
                <w:sz w:val="20"/>
                <w:szCs w:val="20"/>
              </w:rPr>
              <w:t>1</w:t>
            </w:r>
            <w:r>
              <w:rPr>
                <w:rFonts w:ascii="Times New Roman" w:hAnsi="Times New Roman" w:cs="Times New Roman"/>
                <w:sz w:val="20"/>
                <w:szCs w:val="20"/>
              </w:rPr>
              <w:t>0</w:t>
            </w:r>
          </w:p>
        </w:tc>
      </w:tr>
      <w:tr w:rsidR="00D41775" w:rsidRPr="008E1F70" w:rsidTr="00B05A15">
        <w:tc>
          <w:tcPr>
            <w:tcW w:w="675" w:type="dxa"/>
          </w:tcPr>
          <w:p w:rsidR="00D41775" w:rsidRPr="008E1F70" w:rsidRDefault="00D41775" w:rsidP="00B05A15">
            <w:pPr>
              <w:pStyle w:val="a6"/>
              <w:spacing w:line="276" w:lineRule="auto"/>
              <w:ind w:left="348"/>
              <w:rPr>
                <w:rFonts w:ascii="Times New Roman" w:hAnsi="Times New Roman" w:cs="Times New Roman"/>
                <w:color w:val="000000" w:themeColor="text1"/>
                <w:sz w:val="20"/>
                <w:szCs w:val="20"/>
              </w:rPr>
            </w:pPr>
          </w:p>
        </w:tc>
        <w:tc>
          <w:tcPr>
            <w:tcW w:w="4820" w:type="dxa"/>
          </w:tcPr>
          <w:p w:rsidR="00D41775" w:rsidRPr="008E1F70" w:rsidRDefault="00D41775" w:rsidP="00B05A15">
            <w:pPr>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ИТОГО:</w:t>
            </w:r>
          </w:p>
        </w:tc>
        <w:tc>
          <w:tcPr>
            <w:tcW w:w="1559"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p>
        </w:tc>
        <w:tc>
          <w:tcPr>
            <w:tcW w:w="1418" w:type="dxa"/>
          </w:tcPr>
          <w:p w:rsidR="00D41775" w:rsidRPr="008E1F70" w:rsidRDefault="00D41775" w:rsidP="00B05A15">
            <w:pPr>
              <w:pStyle w:val="a6"/>
              <w:spacing w:line="276" w:lineRule="auto"/>
              <w:jc w:val="both"/>
              <w:rPr>
                <w:rFonts w:ascii="Times New Roman" w:hAnsi="Times New Roman" w:cs="Times New Roman"/>
                <w:color w:val="000000" w:themeColor="text1"/>
                <w:sz w:val="20"/>
                <w:szCs w:val="20"/>
              </w:rPr>
            </w:pPr>
            <w:r w:rsidRPr="008E1F70">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0</w:t>
            </w:r>
          </w:p>
        </w:tc>
      </w:tr>
    </w:tbl>
    <w:p w:rsidR="00D41775" w:rsidRPr="003C1EEA" w:rsidRDefault="00D41775" w:rsidP="00D41775">
      <w:pPr>
        <w:pStyle w:val="a6"/>
        <w:spacing w:line="276" w:lineRule="auto"/>
        <w:jc w:val="both"/>
        <w:rPr>
          <w:rFonts w:ascii="Times New Roman" w:hAnsi="Times New Roman" w:cs="Times New Roman"/>
          <w:sz w:val="28"/>
          <w:szCs w:val="28"/>
        </w:rPr>
      </w:pPr>
    </w:p>
    <w:p w:rsidR="00D41775" w:rsidRPr="003C1EEA" w:rsidRDefault="00D41775" w:rsidP="00D41775">
      <w:pPr>
        <w:spacing w:after="0"/>
        <w:rPr>
          <w:rFonts w:ascii="Times New Roman" w:hAnsi="Times New Roman" w:cs="Times New Roman"/>
          <w:sz w:val="28"/>
          <w:szCs w:val="28"/>
        </w:rPr>
      </w:pPr>
      <w:r w:rsidRPr="003C1EEA">
        <w:rPr>
          <w:rFonts w:ascii="Times New Roman" w:hAnsi="Times New Roman" w:cs="Times New Roman"/>
          <w:sz w:val="28"/>
          <w:szCs w:val="28"/>
        </w:rPr>
        <w:tab/>
      </w:r>
    </w:p>
    <w:p w:rsidR="00D41775" w:rsidRPr="003C1EEA" w:rsidRDefault="00D41775" w:rsidP="00D41775">
      <w:pPr>
        <w:spacing w:after="0"/>
        <w:rPr>
          <w:rFonts w:ascii="Times New Roman" w:hAnsi="Times New Roman" w:cs="Times New Roman"/>
          <w:sz w:val="28"/>
          <w:szCs w:val="28"/>
        </w:rPr>
      </w:pPr>
    </w:p>
    <w:p w:rsidR="0061026D" w:rsidRPr="003C1EEA" w:rsidRDefault="0061026D" w:rsidP="00C22821">
      <w:pPr>
        <w:spacing w:after="0" w:line="276" w:lineRule="auto"/>
        <w:rPr>
          <w:rFonts w:ascii="Times New Roman" w:hAnsi="Times New Roman" w:cs="Times New Roman"/>
          <w:sz w:val="28"/>
          <w:szCs w:val="28"/>
        </w:rPr>
      </w:pPr>
    </w:p>
    <w:p w:rsidR="0061026D" w:rsidRPr="003C1EEA" w:rsidRDefault="0061026D" w:rsidP="00C22821">
      <w:pPr>
        <w:spacing w:after="0" w:line="276" w:lineRule="auto"/>
        <w:rPr>
          <w:rFonts w:ascii="Times New Roman" w:hAnsi="Times New Roman" w:cs="Times New Roman"/>
          <w:sz w:val="28"/>
          <w:szCs w:val="28"/>
        </w:rPr>
      </w:pPr>
    </w:p>
    <w:p w:rsidR="0061026D" w:rsidRPr="003C1EEA" w:rsidRDefault="0061026D" w:rsidP="00C22821">
      <w:pPr>
        <w:spacing w:after="0" w:line="276" w:lineRule="auto"/>
        <w:rPr>
          <w:rFonts w:ascii="Times New Roman" w:hAnsi="Times New Roman" w:cs="Times New Roman"/>
          <w:sz w:val="28"/>
          <w:szCs w:val="28"/>
        </w:rPr>
      </w:pPr>
    </w:p>
    <w:p w:rsidR="0061026D" w:rsidRPr="003C1EEA" w:rsidRDefault="0061026D" w:rsidP="00C22821">
      <w:pPr>
        <w:spacing w:after="0" w:line="276" w:lineRule="auto"/>
        <w:rPr>
          <w:rFonts w:ascii="Times New Roman" w:hAnsi="Times New Roman" w:cs="Times New Roman"/>
          <w:sz w:val="28"/>
          <w:szCs w:val="28"/>
        </w:rPr>
      </w:pPr>
    </w:p>
    <w:p w:rsidR="0061026D" w:rsidRPr="003C1EEA" w:rsidRDefault="0061026D" w:rsidP="00C22821">
      <w:pPr>
        <w:spacing w:after="0" w:line="276" w:lineRule="auto"/>
        <w:rPr>
          <w:rFonts w:ascii="Times New Roman" w:hAnsi="Times New Roman" w:cs="Times New Roman"/>
          <w:sz w:val="28"/>
          <w:szCs w:val="28"/>
        </w:rPr>
      </w:pPr>
    </w:p>
    <w:p w:rsidR="0061026D" w:rsidRPr="003C1EEA" w:rsidRDefault="0061026D" w:rsidP="00C22821">
      <w:pPr>
        <w:spacing w:after="0" w:line="276" w:lineRule="auto"/>
        <w:rPr>
          <w:rFonts w:ascii="Times New Roman" w:hAnsi="Times New Roman" w:cs="Times New Roman"/>
          <w:sz w:val="28"/>
          <w:szCs w:val="28"/>
        </w:rPr>
      </w:pPr>
    </w:p>
    <w:p w:rsidR="002E7A4F" w:rsidRPr="003C1EEA" w:rsidRDefault="002E7A4F" w:rsidP="00C22821">
      <w:pPr>
        <w:pStyle w:val="a6"/>
        <w:spacing w:line="276" w:lineRule="auto"/>
        <w:jc w:val="both"/>
        <w:rPr>
          <w:rFonts w:ascii="Times New Roman" w:hAnsi="Times New Roman" w:cs="Times New Roman"/>
          <w:sz w:val="28"/>
          <w:szCs w:val="28"/>
        </w:rPr>
      </w:pPr>
    </w:p>
    <w:p w:rsidR="007D5633" w:rsidRPr="003C1EEA" w:rsidRDefault="007D5633" w:rsidP="00C22821">
      <w:pPr>
        <w:pStyle w:val="a6"/>
        <w:spacing w:line="276" w:lineRule="auto"/>
        <w:jc w:val="both"/>
        <w:rPr>
          <w:rFonts w:ascii="Times New Roman" w:hAnsi="Times New Roman" w:cs="Times New Roman"/>
          <w:sz w:val="28"/>
          <w:szCs w:val="28"/>
        </w:rPr>
      </w:pPr>
    </w:p>
    <w:sectPr w:rsidR="007D5633" w:rsidRPr="003C1EEA" w:rsidSect="003C1EEA">
      <w:footerReference w:type="default" r:id="rId9"/>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02C" w:rsidRDefault="00A9202C" w:rsidP="005375FA">
      <w:pPr>
        <w:pStyle w:val="a6"/>
      </w:pPr>
      <w:r>
        <w:separator/>
      </w:r>
    </w:p>
  </w:endnote>
  <w:endnote w:type="continuationSeparator" w:id="1">
    <w:p w:rsidR="00A9202C" w:rsidRDefault="00A9202C" w:rsidP="005375FA">
      <w:pPr>
        <w:pStyle w:val="a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327719"/>
      <w:docPartObj>
        <w:docPartGallery w:val="Page Numbers (Bottom of Page)"/>
        <w:docPartUnique/>
      </w:docPartObj>
    </w:sdtPr>
    <w:sdtContent>
      <w:p w:rsidR="005375FA" w:rsidRDefault="000B4F68">
        <w:pPr>
          <w:pStyle w:val="aa"/>
          <w:jc w:val="center"/>
        </w:pPr>
        <w:fldSimple w:instr=" PAGE   \* MERGEFORMAT ">
          <w:r w:rsidR="00222E8B">
            <w:rPr>
              <w:noProof/>
            </w:rPr>
            <w:t>2</w:t>
          </w:r>
        </w:fldSimple>
      </w:p>
    </w:sdtContent>
  </w:sdt>
  <w:p w:rsidR="005375FA" w:rsidRDefault="005375F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02C" w:rsidRDefault="00A9202C" w:rsidP="005375FA">
      <w:pPr>
        <w:pStyle w:val="a6"/>
      </w:pPr>
      <w:r>
        <w:separator/>
      </w:r>
    </w:p>
  </w:footnote>
  <w:footnote w:type="continuationSeparator" w:id="1">
    <w:p w:rsidR="00A9202C" w:rsidRDefault="00A9202C" w:rsidP="005375FA">
      <w:pPr>
        <w:pStyle w:val="a6"/>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0276D"/>
    <w:multiLevelType w:val="hybridMultilevel"/>
    <w:tmpl w:val="F8B00302"/>
    <w:lvl w:ilvl="0" w:tplc="0F7A02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CE96060"/>
    <w:multiLevelType w:val="multilevel"/>
    <w:tmpl w:val="182247FA"/>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
    <w:nsid w:val="28184B34"/>
    <w:multiLevelType w:val="hybridMultilevel"/>
    <w:tmpl w:val="462EA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B506F"/>
    <w:multiLevelType w:val="hybridMultilevel"/>
    <w:tmpl w:val="8E2244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A992BE8"/>
    <w:multiLevelType w:val="multilevel"/>
    <w:tmpl w:val="3FC8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1E1AA3"/>
    <w:multiLevelType w:val="hybridMultilevel"/>
    <w:tmpl w:val="1556F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324D4"/>
    <w:rsid w:val="0000609F"/>
    <w:rsid w:val="00012224"/>
    <w:rsid w:val="0003297B"/>
    <w:rsid w:val="00051D50"/>
    <w:rsid w:val="000632FF"/>
    <w:rsid w:val="00091E56"/>
    <w:rsid w:val="000B25CE"/>
    <w:rsid w:val="000B4F68"/>
    <w:rsid w:val="00144356"/>
    <w:rsid w:val="001542E3"/>
    <w:rsid w:val="001708DD"/>
    <w:rsid w:val="001A4FBE"/>
    <w:rsid w:val="001D3138"/>
    <w:rsid w:val="001F2340"/>
    <w:rsid w:val="001F3569"/>
    <w:rsid w:val="00222E8B"/>
    <w:rsid w:val="00250042"/>
    <w:rsid w:val="00282B30"/>
    <w:rsid w:val="002935C1"/>
    <w:rsid w:val="002E7A4F"/>
    <w:rsid w:val="002F1954"/>
    <w:rsid w:val="003019D3"/>
    <w:rsid w:val="00325AEF"/>
    <w:rsid w:val="0033282C"/>
    <w:rsid w:val="003C1EEA"/>
    <w:rsid w:val="003C503D"/>
    <w:rsid w:val="003F0A79"/>
    <w:rsid w:val="00430C56"/>
    <w:rsid w:val="004C1435"/>
    <w:rsid w:val="00506D8C"/>
    <w:rsid w:val="005375FA"/>
    <w:rsid w:val="00565109"/>
    <w:rsid w:val="00581E28"/>
    <w:rsid w:val="005C7E71"/>
    <w:rsid w:val="00603938"/>
    <w:rsid w:val="0060435F"/>
    <w:rsid w:val="0061026D"/>
    <w:rsid w:val="00613838"/>
    <w:rsid w:val="00632BAD"/>
    <w:rsid w:val="00647E9E"/>
    <w:rsid w:val="00682A60"/>
    <w:rsid w:val="006877A0"/>
    <w:rsid w:val="006A68A8"/>
    <w:rsid w:val="006C117A"/>
    <w:rsid w:val="006D117D"/>
    <w:rsid w:val="006F5523"/>
    <w:rsid w:val="006F7ED6"/>
    <w:rsid w:val="00700D35"/>
    <w:rsid w:val="0072173B"/>
    <w:rsid w:val="00723E89"/>
    <w:rsid w:val="00781D21"/>
    <w:rsid w:val="007C0BF5"/>
    <w:rsid w:val="007C359C"/>
    <w:rsid w:val="007D5633"/>
    <w:rsid w:val="007D679F"/>
    <w:rsid w:val="0080697E"/>
    <w:rsid w:val="00864E00"/>
    <w:rsid w:val="00881581"/>
    <w:rsid w:val="008C3BAB"/>
    <w:rsid w:val="008E1B7A"/>
    <w:rsid w:val="009446DD"/>
    <w:rsid w:val="009901BD"/>
    <w:rsid w:val="009C36B7"/>
    <w:rsid w:val="009F0402"/>
    <w:rsid w:val="00A9202C"/>
    <w:rsid w:val="00AB0BFF"/>
    <w:rsid w:val="00AB1B28"/>
    <w:rsid w:val="00AD0A7F"/>
    <w:rsid w:val="00AD1366"/>
    <w:rsid w:val="00B22B14"/>
    <w:rsid w:val="00B471AC"/>
    <w:rsid w:val="00B70684"/>
    <w:rsid w:val="00B774AA"/>
    <w:rsid w:val="00BA75E6"/>
    <w:rsid w:val="00BF050F"/>
    <w:rsid w:val="00C21F6B"/>
    <w:rsid w:val="00C22821"/>
    <w:rsid w:val="00C372BE"/>
    <w:rsid w:val="00C83499"/>
    <w:rsid w:val="00CC091F"/>
    <w:rsid w:val="00CE55A5"/>
    <w:rsid w:val="00CE693E"/>
    <w:rsid w:val="00D10309"/>
    <w:rsid w:val="00D324D4"/>
    <w:rsid w:val="00D41775"/>
    <w:rsid w:val="00D5226B"/>
    <w:rsid w:val="00DA2E54"/>
    <w:rsid w:val="00DF0045"/>
    <w:rsid w:val="00E046A4"/>
    <w:rsid w:val="00E67EEE"/>
    <w:rsid w:val="00E931A9"/>
    <w:rsid w:val="00EA02DC"/>
    <w:rsid w:val="00EC15FD"/>
    <w:rsid w:val="00ED18A4"/>
    <w:rsid w:val="00EE28C4"/>
    <w:rsid w:val="00EF222D"/>
    <w:rsid w:val="00F34B29"/>
    <w:rsid w:val="00FA4A23"/>
    <w:rsid w:val="00FC48EC"/>
    <w:rsid w:val="00FC5086"/>
    <w:rsid w:val="00FD1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B28"/>
  </w:style>
  <w:style w:type="paragraph" w:styleId="1">
    <w:name w:val="heading 1"/>
    <w:basedOn w:val="a"/>
    <w:link w:val="10"/>
    <w:uiPriority w:val="9"/>
    <w:qFormat/>
    <w:rsid w:val="00D32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4D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2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324D4"/>
    <w:rPr>
      <w:color w:val="0000FF"/>
      <w:u w:val="single"/>
    </w:rPr>
  </w:style>
  <w:style w:type="paragraph" w:styleId="a5">
    <w:name w:val="List Paragraph"/>
    <w:basedOn w:val="a"/>
    <w:uiPriority w:val="34"/>
    <w:qFormat/>
    <w:rsid w:val="00B22B14"/>
    <w:pPr>
      <w:ind w:left="720"/>
      <w:contextualSpacing/>
    </w:pPr>
  </w:style>
  <w:style w:type="paragraph" w:customStyle="1" w:styleId="HTML1">
    <w:name w:val="Стандартный HTML1"/>
    <w:basedOn w:val="a"/>
    <w:rsid w:val="002E7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Standard">
    <w:name w:val="Standard"/>
    <w:rsid w:val="002E7A4F"/>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 w:type="paragraph" w:styleId="a6">
    <w:name w:val="No Spacing"/>
    <w:uiPriority w:val="1"/>
    <w:qFormat/>
    <w:rsid w:val="000B25CE"/>
    <w:pPr>
      <w:spacing w:after="0" w:line="240" w:lineRule="auto"/>
    </w:pPr>
  </w:style>
  <w:style w:type="table" w:styleId="a7">
    <w:name w:val="Table Grid"/>
    <w:basedOn w:val="a1"/>
    <w:uiPriority w:val="39"/>
    <w:rsid w:val="005651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w-page-title-main">
    <w:name w:val="mw-page-title-main"/>
    <w:basedOn w:val="a0"/>
    <w:rsid w:val="002935C1"/>
  </w:style>
  <w:style w:type="paragraph" w:styleId="a8">
    <w:name w:val="header"/>
    <w:basedOn w:val="a"/>
    <w:link w:val="a9"/>
    <w:uiPriority w:val="99"/>
    <w:semiHidden/>
    <w:unhideWhenUsed/>
    <w:rsid w:val="005375F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75FA"/>
  </w:style>
  <w:style w:type="paragraph" w:styleId="aa">
    <w:name w:val="footer"/>
    <w:basedOn w:val="a"/>
    <w:link w:val="ab"/>
    <w:uiPriority w:val="99"/>
    <w:unhideWhenUsed/>
    <w:rsid w:val="005375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75FA"/>
  </w:style>
</w:styles>
</file>

<file path=word/webSettings.xml><?xml version="1.0" encoding="utf-8"?>
<w:webSettings xmlns:r="http://schemas.openxmlformats.org/officeDocument/2006/relationships" xmlns:w="http://schemas.openxmlformats.org/wordprocessingml/2006/main">
  <w:divs>
    <w:div w:id="640187347">
      <w:bodyDiv w:val="1"/>
      <w:marLeft w:val="0"/>
      <w:marRight w:val="0"/>
      <w:marTop w:val="0"/>
      <w:marBottom w:val="0"/>
      <w:divBdr>
        <w:top w:val="none" w:sz="0" w:space="0" w:color="auto"/>
        <w:left w:val="none" w:sz="0" w:space="0" w:color="auto"/>
        <w:bottom w:val="none" w:sz="0" w:space="0" w:color="auto"/>
        <w:right w:val="none" w:sz="0" w:space="0" w:color="auto"/>
      </w:divBdr>
    </w:div>
    <w:div w:id="981545565">
      <w:bodyDiv w:val="1"/>
      <w:marLeft w:val="0"/>
      <w:marRight w:val="0"/>
      <w:marTop w:val="0"/>
      <w:marBottom w:val="0"/>
      <w:divBdr>
        <w:top w:val="none" w:sz="0" w:space="0" w:color="auto"/>
        <w:left w:val="none" w:sz="0" w:space="0" w:color="auto"/>
        <w:bottom w:val="none" w:sz="0" w:space="0" w:color="auto"/>
        <w:right w:val="none" w:sz="0" w:space="0" w:color="auto"/>
      </w:divBdr>
    </w:div>
    <w:div w:id="1204707015">
      <w:bodyDiv w:val="1"/>
      <w:marLeft w:val="0"/>
      <w:marRight w:val="0"/>
      <w:marTop w:val="0"/>
      <w:marBottom w:val="0"/>
      <w:divBdr>
        <w:top w:val="none" w:sz="0" w:space="0" w:color="auto"/>
        <w:left w:val="none" w:sz="0" w:space="0" w:color="auto"/>
        <w:bottom w:val="none" w:sz="0" w:space="0" w:color="auto"/>
        <w:right w:val="none" w:sz="0" w:space="0" w:color="auto"/>
      </w:divBdr>
    </w:div>
    <w:div w:id="1292976337">
      <w:bodyDiv w:val="1"/>
      <w:marLeft w:val="0"/>
      <w:marRight w:val="0"/>
      <w:marTop w:val="0"/>
      <w:marBottom w:val="0"/>
      <w:divBdr>
        <w:top w:val="none" w:sz="0" w:space="0" w:color="auto"/>
        <w:left w:val="none" w:sz="0" w:space="0" w:color="auto"/>
        <w:bottom w:val="none" w:sz="0" w:space="0" w:color="auto"/>
        <w:right w:val="none" w:sz="0" w:space="0" w:color="auto"/>
      </w:divBdr>
    </w:div>
    <w:div w:id="1556314050">
      <w:bodyDiv w:val="1"/>
      <w:marLeft w:val="0"/>
      <w:marRight w:val="0"/>
      <w:marTop w:val="0"/>
      <w:marBottom w:val="0"/>
      <w:divBdr>
        <w:top w:val="none" w:sz="0" w:space="0" w:color="auto"/>
        <w:left w:val="none" w:sz="0" w:space="0" w:color="auto"/>
        <w:bottom w:val="none" w:sz="0" w:space="0" w:color="auto"/>
        <w:right w:val="none" w:sz="0" w:space="0" w:color="auto"/>
      </w:divBdr>
    </w:div>
    <w:div w:id="17527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ur.ru/index.php?option=com_content&amp;view=article&amp;id=2918:zayavlenie-o-vydvizhenii-svoej-kandidatury-v-delegaty-na-ocherednuyu-konferentsiyu-advokatov-advokatskoj-palaty-udmurtskoj-respubliki-13-09-2024-goda&amp;catid=115&amp;Itemid=100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A39A4-4FF8-4078-94CD-08E6DDC2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1007</Words>
  <Characters>5741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user</cp:lastModifiedBy>
  <cp:revision>19</cp:revision>
  <cp:lastPrinted>2024-10-31T02:48:00Z</cp:lastPrinted>
  <dcterms:created xsi:type="dcterms:W3CDTF">2024-11-01T04:29:00Z</dcterms:created>
  <dcterms:modified xsi:type="dcterms:W3CDTF">2025-11-13T10:27:00Z</dcterms:modified>
</cp:coreProperties>
</file>